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BD" w:rsidRPr="00036EB2" w:rsidRDefault="00835BBD" w:rsidP="00036EB2">
      <w:pPr>
        <w:pStyle w:val="a3"/>
        <w:spacing w:before="0" w:beforeAutospacing="0" w:after="0" w:afterAutospacing="0"/>
        <w:jc w:val="right"/>
        <w:rPr>
          <w:i/>
          <w:iCs/>
          <w:color w:val="000000"/>
          <w:lang w:val="en-US"/>
        </w:rPr>
      </w:pPr>
      <w:r w:rsidRPr="00036EB2">
        <w:rPr>
          <w:i/>
          <w:iCs/>
          <w:color w:val="000000"/>
        </w:rPr>
        <w:t>Учиться можно только весело... Чтобы переваривать знания,</w:t>
      </w:r>
    </w:p>
    <w:p w:rsidR="00835BBD" w:rsidRPr="00036EB2" w:rsidRDefault="00835BBD" w:rsidP="00036EB2">
      <w:pPr>
        <w:pStyle w:val="a3"/>
        <w:spacing w:before="0" w:beforeAutospacing="0" w:after="0" w:afterAutospacing="0"/>
        <w:jc w:val="right"/>
      </w:pPr>
      <w:r w:rsidRPr="00036EB2">
        <w:rPr>
          <w:i/>
          <w:iCs/>
          <w:color w:val="000000"/>
        </w:rPr>
        <w:t xml:space="preserve"> надо поглощать их с аппетитом.</w:t>
      </w:r>
      <w:r w:rsidRPr="00036EB2">
        <w:rPr>
          <w:i/>
          <w:iCs/>
          <w:color w:val="000000"/>
        </w:rPr>
        <w:br/>
        <w:t>А. Франс</w:t>
      </w:r>
    </w:p>
    <w:p w:rsidR="00835BBD" w:rsidRPr="00036EB2" w:rsidRDefault="00835BBD" w:rsidP="00036E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36EB2">
        <w:rPr>
          <w:b/>
          <w:bCs/>
          <w:color w:val="006400"/>
          <w:sz w:val="28"/>
          <w:szCs w:val="28"/>
        </w:rPr>
        <w:t>Игровые технологии на различных этапах урока информатики</w:t>
      </w:r>
    </w:p>
    <w:p w:rsidR="00835BBD" w:rsidRPr="00036EB2" w:rsidRDefault="00835BBD" w:rsidP="00036E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36EB2">
        <w:rPr>
          <w:rFonts w:ascii="Times New Roman" w:hAnsi="Times New Roman" w:cs="Times New Roman"/>
          <w:color w:val="000000"/>
          <w:sz w:val="24"/>
          <w:szCs w:val="24"/>
        </w:rPr>
        <w:t>В современной школе, делающей ставку на активизацию и интенсификацию учебного процесса, игровая деятельность на уроках информатики используется в качестве элементов урока или его части (введения, объяснения, закрепления, упражнения, контроля). Наиболее целесообразно ее применение на уроках по закреплению, систематизации или повторению материала. Рассмотрим применение игр на разных этапах урока.</w:t>
      </w: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BBD" w:rsidRP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перенос уже имеющихся знаний в новую ситуацию относительно содержания темы и целей урока через постановку проблемных задач. Дети должны суметь применить знания, а не воспроизвести их. Таким образом, на уроке идет процесс повторения, но  на уровне мышления, а не памяти (Память вторична в такой ситуации) Каковы цели процесса актуализации знаний? </w:t>
      </w: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первых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активизация личностного опыта каждого и использование его в обучении. Во-вторых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представления об изучаемых объектах. В–третьих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ребенка заинтересованности в усвоении изучаемого материала. Результатом данного этапа урока явится образ изучаемого объекта (в виде словесного описания, изображения и т. п.). Как получить обратную связь? Учитель формулирует задания, которые выполняют все ученики (например: расскажите друг другу, запишите в виде вывода в тетради, составьте схему, изобразите …). На данном этапе можно предложить такие игры.</w:t>
      </w:r>
    </w:p>
    <w:p w:rsidR="00835BBD" w:rsidRPr="00835BBD" w:rsidRDefault="00835BBD" w:rsidP="00036E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«Кто больше?»</w:t>
      </w:r>
      <w:r w:rsidRPr="00835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темы «Информация и информационные процессы» учащимся предлагается заполнить таблицу</w:t>
      </w:r>
    </w:p>
    <w:tbl>
      <w:tblPr>
        <w:tblW w:w="756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4316"/>
      </w:tblGrid>
      <w:tr w:rsidR="00835BBD" w:rsidRPr="00835BBD" w:rsidTr="00835BBD">
        <w:trPr>
          <w:tblCellSpacing w:w="15" w:type="dxa"/>
          <w:jc w:val="center"/>
        </w:trPr>
        <w:tc>
          <w:tcPr>
            <w:tcW w:w="324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432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процессы</w:t>
            </w:r>
          </w:p>
        </w:tc>
      </w:tr>
      <w:tr w:rsidR="00835BBD" w:rsidRPr="00835BBD" w:rsidTr="00835BBD">
        <w:trPr>
          <w:trHeight w:val="960"/>
          <w:tblCellSpacing w:w="15" w:type="dxa"/>
          <w:jc w:val="center"/>
        </w:trPr>
        <w:tc>
          <w:tcPr>
            <w:tcW w:w="324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темы «Применение ЭВМ» учащимся нужно записать сферы производства, где используются компьютеры, можно провести эту игру устно, каждый ряд называет по очереди сферу производства.</w:t>
      </w:r>
    </w:p>
    <w:p w:rsidR="00036EB2" w:rsidRPr="00036EB2" w:rsidRDefault="00835BBD" w:rsidP="00036E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«Найди ошибку»</w:t>
      </w:r>
    </w:p>
    <w:p w:rsidR="00036EB2" w:rsidRP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читает фразы с ошибочной информацией по определенной теме. При появлении ошибки в тексте нужно поднять жетон. Та команда, которая найдет больше ошибок, выигрывает. Также можно облечь в данную форму тестовые задания, но учащиеся должны отвечать на вопросы только «да» и «нет».</w:t>
      </w: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по теме «Программное обеспечение».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 процессор производит вычисление.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графическом редакторе можно построить окружность.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– специальная программа для вставки символов. 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Архиватор может найти зараженную вирусом программу.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Калькулятор выполняет арифметические вычисления в двоичной системе.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текстовом редакторе Блокнот можно вставить таблицу.</w:t>
      </w:r>
    </w:p>
    <w:p w:rsidR="00835BBD" w:rsidRPr="00036EB2" w:rsidRDefault="00835BBD" w:rsidP="00036E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таблицы выполняют построение диаграмм.</w:t>
      </w: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 знаний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подготовительный этап, когда возникает момент создания положительного эмоционального настроя на усвоение учебного материала.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детьми ставят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урока и обязательно их анализируют. Зачем? Чтобы определить конечный результат урока для каждого его участника. На данном этапе урока ученики становятся не объектами, а субъектами обучения, активными его участниками. Как же вместе с детьми определить цели урока? Через создание проблемной ситуации. Это произойдет не сразу и не вдруг, но 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пойдет опора не на память, а на мышление детей. И  методы обучения – частично- поисковые, и деятельность учеников - продуктивная. </w:t>
      </w:r>
    </w:p>
    <w:p w:rsidR="00036EB2" w:rsidRDefault="00835BBD" w:rsidP="00036E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Подвижная игра «Кто быстрее»</w:t>
      </w: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2 команды. Во время повторения или обобщения темы «Устройства ЭВМ» к доске вызываются по одному участнику из ряда, им предлагается задание, заполнить таблицу.</w:t>
      </w:r>
    </w:p>
    <w:tbl>
      <w:tblPr>
        <w:tblW w:w="81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3784"/>
      </w:tblGrid>
      <w:tr w:rsidR="00835BBD" w:rsidRPr="00835BBD" w:rsidTr="00835BBD">
        <w:trPr>
          <w:tblCellSpacing w:w="15" w:type="dxa"/>
          <w:jc w:val="center"/>
        </w:trPr>
        <w:tc>
          <w:tcPr>
            <w:tcW w:w="432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ввода </w:t>
            </w:r>
          </w:p>
        </w:tc>
        <w:tc>
          <w:tcPr>
            <w:tcW w:w="378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вывода</w:t>
            </w:r>
          </w:p>
        </w:tc>
      </w:tr>
      <w:tr w:rsidR="00835BBD" w:rsidRPr="00835BBD" w:rsidTr="00835BBD">
        <w:trPr>
          <w:trHeight w:val="921"/>
          <w:tblCellSpacing w:w="15" w:type="dxa"/>
          <w:jc w:val="center"/>
        </w:trPr>
        <w:tc>
          <w:tcPr>
            <w:tcW w:w="432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Вызываются 2 ученика, на каждый шаг они должны назвать устройства ввода или  устройства вывода.</w:t>
      </w:r>
    </w:p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«Шутка наборщика»</w:t>
      </w: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наборе слов наборщик решил пошутить, 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согласные он вставил, а гласные пропустил. Найди неизвестные буквы по теме «Память компьютера»</w:t>
      </w: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3575" cy="2028825"/>
            <wp:effectExtent l="19050" t="0" r="9525" b="0"/>
            <wp:docPr id="1" name="Рисунок 1" descr="http://tat-ni.edusite.ru/images/p24_igr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-ni.edusite.ru/images/p24_igrova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Формирования новых знаний.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– формирование знаний на уровне осмысления сущности понятий. Если мы определяем цели изучения нового материала через термин «формировать …», то мы уже создаем ситуацию на уроке </w:t>
      </w:r>
      <w:proofErr w:type="spellStart"/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субъект-объектных</w:t>
      </w:r>
      <w:proofErr w:type="spellEnd"/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учителя с учениками. Формулируя цели урока как «организацию условий формирования …», мы создаем условия для развития </w:t>
      </w:r>
      <w:proofErr w:type="spellStart"/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субъект-объектных</w:t>
      </w:r>
      <w:proofErr w:type="spellEnd"/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отношений. 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данного этапа урока будут основные характеристики изучаемых явлений, а выразить результаты можно через формулирование определения понятия самими учениками, таблицу, схему, модель и т. д.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практической части урока задача учителя: создание условий формирования умения применить теоретические знания на практике, используя дифференцированный подход к учащимся. 1 уровень применения знаний – действие по алгоритму. 2 уровень - действие в измененной ситуации. 3 уровень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действие в новой ситуации.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данном этапе можно использовать игру при работе с книгой.</w:t>
      </w: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«Вопрос-ответ»</w:t>
      </w: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текст. Быстро и внимательно прочитайте его.  Теперь разделимся на две команды. Пусть левая команда будет задавать вопросы, правая — отвечать. Соревнование на лучший ответ и лучший вопрос по учебному тексту. Будут учитываться активность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участников команд в конечно, количество и глубина заданных вопросов и качество ответов, также юмор, оригинальность, находчивость.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Команды, еще раз внимательно прочитайте текст.  Теперь за 1—2 минуты левая команда придумает свои занимательные вопросы (можно кратко записать),</w:t>
      </w: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— обсудит текст, выделит в нем главное, чтобы оценить качество задаваемых вопросов. Пожалуйста, готовьтесь к турниру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ожалуйста, правая команда, задавайте вопросы своим противникам, а левая команда постарается ответить. Начали!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давайте оценим проведенную игру. Ведущий, определите</w:t>
      </w: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победителей.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Законспектируйте текст, отразив  основные понятия</w:t>
      </w:r>
      <w:r w:rsid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EB2" w:rsidRPr="00835BBD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«Существительные»</w:t>
      </w: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учебный текст. Внимание! Прочитаем его. Мы сейчас будем пересказывать текст коллективно. Слева направо, по порядку, вы будете говорить существительное, которое наиболее точно соответствует дан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абзацу. Причём последующий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произнесённое перед ним игроками , и далее добавляет своё. Таким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должны воспроизвести учебный текст существительными, его основную идею.</w:t>
      </w:r>
    </w:p>
    <w:p w:rsidR="00036EB2" w:rsidRPr="00835BBD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Закрепление знаний. 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закрепить знания учащихся, необходимые для самостоятельной работы, добиться понимания правильного использования полученных алгоритмов для решения частных задач, контроль и корректировка различными способами выполнения заданий.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Условиями достижения положительных результатов являются использование нескольких однотипных заданий, выполнение которых непродолжительно по времени и направлено на выявление особо значимых знаний и умений для последующей самостоятельной деятельности учащихся, рациональное местонахождение учителя для того, чтобы одновременно видеть и контролировать действия всех учеников, сидящих за компьютерами, умение учителя оказать экстренную помощь учащимся, не снижая темпа работы всего класса. </w:t>
      </w:r>
      <w:proofErr w:type="gramEnd"/>
    </w:p>
    <w:p w:rsidR="00036EB2" w:rsidRPr="00835BBD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«Цепочка»</w:t>
      </w:r>
    </w:p>
    <w:p w:rsidR="00835BBD" w:rsidRP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 команды. Для каждой команды учитель записывает число в 2-ой, 8-ой или 16-ой системе счисления. Учащиеся должны по одному выходить к доске и записывать числа столбиком по порядку или по возрастанию или убыванию.</w:t>
      </w:r>
    </w:p>
    <w:tbl>
      <w:tblPr>
        <w:tblW w:w="48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  <w:gridCol w:w="2397"/>
      </w:tblGrid>
      <w:tr w:rsidR="00835BBD" w:rsidRPr="00835BBD" w:rsidTr="00835BBD">
        <w:trPr>
          <w:tblCellSpacing w:w="15" w:type="dxa"/>
          <w:jc w:val="center"/>
        </w:trPr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8-я</w:t>
            </w:r>
          </w:p>
        </w:tc>
      </w:tr>
      <w:tr w:rsidR="00835BBD" w:rsidRPr="00835BBD" w:rsidTr="00835BBD">
        <w:trPr>
          <w:tblCellSpacing w:w="15" w:type="dxa"/>
          <w:jc w:val="center"/>
        </w:trPr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35BBD" w:rsidRPr="00835BBD" w:rsidTr="00835BBD">
        <w:trPr>
          <w:tblCellSpacing w:w="15" w:type="dxa"/>
          <w:jc w:val="center"/>
        </w:trPr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35BBD" w:rsidRPr="00835BBD" w:rsidTr="00835BBD">
        <w:trPr>
          <w:tblCellSpacing w:w="15" w:type="dxa"/>
          <w:jc w:val="center"/>
        </w:trPr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400" w:type="dxa"/>
            <w:vAlign w:val="center"/>
            <w:hideMark/>
          </w:tcPr>
          <w:p w:rsidR="00835BBD" w:rsidRPr="00835BBD" w:rsidRDefault="00835BBD" w:rsidP="00036E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5BBD" w:rsidRP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Процесс обобщения и оценивания ответов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учащихся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создание ситуации общения, позволяющее каждому ученику проявить свою самостоятельность, инициативу к способам работы по изучению темы, т.е. это момент урока, где каждый может выразить свое отношение к нему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определение проблем по усвоению изучаемого материала (выявление трудностей)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сравнение достижений учеников с целями урока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самооценка заинтересованности ученика по усвоению материала. Как учитель увидит конечный результат деятельности каждого ребенка на уроке?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задания, которые позволяют «материализовать» представления, полученные на уроке в виде схемы, таблицы, графика, правила, определения и т.д. </w:t>
      </w:r>
      <w:proofErr w:type="gramEnd"/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Игра «Исполнители алгоритмов»</w:t>
      </w: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управляемого и управляющего в сказке «Конек-горбунок», «</w:t>
      </w:r>
      <w:proofErr w:type="spell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</w:t>
      </w:r>
      <w:proofErr w:type="spell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«сказка о золотой рыбке», «Сказка о попе и его работнике </w:t>
      </w:r>
      <w:proofErr w:type="spell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Опишите алгоритмы и систему команд исполнителя в сказке «Репка», «Курочка Ряба», «Кощей бессмертный», «Лягушка-царевна» и др.</w:t>
      </w:r>
    </w:p>
    <w:p w:rsidR="00036EB2" w:rsidRPr="00835BBD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B2" w:rsidRPr="00036EB2" w:rsidRDefault="00835BBD" w:rsidP="00036E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«Разгадай слово»</w:t>
      </w:r>
    </w:p>
    <w:p w:rsid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заготовлены примеры перевода единиц измерения информации и несколько ответов. Решив примеры, учащиеся должны прочитать закодированное слово.</w:t>
      </w:r>
    </w:p>
    <w:p w:rsidR="00835BBD" w:rsidRPr="00835BBD" w:rsidRDefault="00835BBD" w:rsidP="00036E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0,5 Кб = ____ Б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1,2 Мб = </w:t>
      </w:r>
      <w:proofErr w:type="spell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____Кб</w:t>
      </w:r>
      <w:proofErr w:type="spell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0,3 Гб =_____ Мб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1024 Мб = ____ Гб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2700 Кб = ____ Мб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3600 Б = </w:t>
      </w:r>
      <w:proofErr w:type="spell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_____Кб</w:t>
      </w:r>
      <w:proofErr w:type="spell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К=1228,8 Кб;       А=307,2Мб;         С=512 Б;   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=3,51Кб;  Е=2,63Мб;      Н= 1Гб</w:t>
      </w: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5BBD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 урока.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оценивания идет процесс материализации ответов учащихся. Немного об оценивании ответов. За что ставим оценку «3»? « Я знаю…», то есть за воспроизводство </w:t>
      </w:r>
      <w:proofErr w:type="gram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что-«4»? «Я знаю и понимаю, что говорю, привожу примеры…». За что- «5»? « Я знаю, понимаю, привожу примеры, могу применить в другой ситуации…». Иногда на данном этапе целесообразно акцентировать внимание на основных понятиях  или основной мысли пройденного материала.</w:t>
      </w:r>
    </w:p>
    <w:p w:rsidR="00036EB2" w:rsidRPr="00835BBD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BBD" w:rsidRPr="00835BBD" w:rsidRDefault="00835BBD" w:rsidP="00036E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«Поле чудес»</w:t>
      </w:r>
      <w:r w:rsidRPr="00835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Разгадайте основные понятия, которые изучались сегодня на уроке по теме «Глобальная сеть». На доске отображены только гласные буквы данных слов.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_Е__</w:t>
      </w:r>
      <w:proofErr w:type="gramStart"/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gramEnd"/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__О_АЙ_Е_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_О_Е_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 __О_О_О_</w:t>
      </w:r>
    </w:p>
    <w:p w:rsidR="00036EB2" w:rsidRDefault="00036EB2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EB2" w:rsidRPr="00036EB2" w:rsidRDefault="00835BBD" w:rsidP="00036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дозировке </w:t>
      </w:r>
      <w:r w:rsidRPr="0083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домашнего задания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 рекомендации учителя.</w:t>
      </w: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предложить учащимся разгадать или самим разгадать или составить кроссворд, </w:t>
      </w:r>
      <w:proofErr w:type="spell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натворд</w:t>
      </w:r>
      <w:proofErr w:type="spell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чайворд</w:t>
      </w:r>
      <w:proofErr w:type="spellEnd"/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627" w:rsidRPr="00036EB2" w:rsidRDefault="00835BBD" w:rsidP="0003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вовлекая учеников в активный процесс изучения учебного материала, превращая субъект - объектные отношения в субъект - субъектные отношения между учителем и учениками, опираясь в большей степени не на память, а на мышление детей научает каждого ребенка оценивать себя рационально, реально и делать свой выбор в жизненных непростых ситуациях. Психологи утверждают, что учащиеся сохраняют в памяти 10% прочитанного, 20% услышанного, 30% увиденного, 50% услышанного и примененного на практике, 70% сказанного ими самими, 90% сказанного и примененного на практике.</w:t>
      </w:r>
    </w:p>
    <w:sectPr w:rsidR="00655627" w:rsidRPr="00036EB2" w:rsidSect="006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2BA7"/>
    <w:multiLevelType w:val="multilevel"/>
    <w:tmpl w:val="DA14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C6098"/>
    <w:multiLevelType w:val="hybridMultilevel"/>
    <w:tmpl w:val="FE24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BBD"/>
    <w:rsid w:val="00036EB2"/>
    <w:rsid w:val="00655627"/>
    <w:rsid w:val="0083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2017-11-26T17:17:00Z</dcterms:created>
  <dcterms:modified xsi:type="dcterms:W3CDTF">2017-11-26T17:33:00Z</dcterms:modified>
</cp:coreProperties>
</file>